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4656E3AE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E13206">
        <w:rPr>
          <w:rFonts w:ascii="Arial" w:hAnsi="Arial" w:cs="Arial"/>
          <w:b/>
          <w:sz w:val="24"/>
          <w:szCs w:val="24"/>
        </w:rPr>
        <w:t>88-bis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1705016</w:t>
      </w:r>
    </w:p>
    <w:p w14:paraId="1866D85A" w14:textId="3AE20C2E" w:rsidR="009611DA" w:rsidRPr="00FD021C" w:rsidRDefault="009611DA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7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A3AC3">
        <w:rPr>
          <w:rFonts w:ascii="Arial" w:hAnsi="Arial" w:cs="Arial"/>
          <w:b/>
          <w:sz w:val="24"/>
          <w:szCs w:val="24"/>
        </w:rPr>
        <w:t>Apr.</w:t>
      </w:r>
      <w:r>
        <w:rPr>
          <w:rFonts w:ascii="Arial" w:hAnsi="Arial" w:cs="Arial"/>
          <w:b/>
          <w:sz w:val="24"/>
          <w:szCs w:val="24"/>
        </w:rPr>
        <w:t xml:space="preserve"> 2017</w:t>
      </w:r>
      <w:r w:rsidR="005648A0">
        <w:rPr>
          <w:rFonts w:ascii="Arial" w:hAnsi="Arial" w:cs="Arial"/>
          <w:b/>
          <w:sz w:val="24"/>
          <w:szCs w:val="24"/>
        </w:rPr>
        <w:t xml:space="preserve"> </w:t>
      </w:r>
      <w:r w:rsidR="00E13206" w:rsidRPr="00E13206">
        <w:rPr>
          <w:rFonts w:ascii="Arial" w:hAnsi="Arial" w:cs="Arial"/>
          <w:b/>
          <w:sz w:val="24"/>
          <w:szCs w:val="24"/>
        </w:rPr>
        <w:t>Spokane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 w:rsidR="00E13206">
        <w:rPr>
          <w:rFonts w:ascii="Arial" w:hAnsi="Arial" w:cs="Arial"/>
          <w:b/>
          <w:sz w:val="24"/>
          <w:szCs w:val="24"/>
        </w:rPr>
        <w:t>US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4825CF9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A1DC8" w:rsidRPr="009A1DC8">
        <w:rPr>
          <w:rFonts w:ascii="Arial" w:hAnsi="Arial"/>
          <w:sz w:val="24"/>
        </w:rPr>
        <w:t>7.2.6.6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F06AE5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A1DC8" w:rsidRPr="009A1DC8">
        <w:rPr>
          <w:rFonts w:ascii="Arial" w:hAnsi="Arial"/>
          <w:sz w:val="24"/>
        </w:rPr>
        <w:t>Increased PUSCH spectral efficiency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5587CD03" w:rsidR="00536814" w:rsidRPr="00536814" w:rsidRDefault="004E3AF8" w:rsidP="005648A0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proofErr w:type="spellStart"/>
      <w:r>
        <w:rPr>
          <w:rFonts w:ascii="Times New Roman" w:hAnsi="Times New Roman"/>
          <w:sz w:val="20"/>
          <w:szCs w:val="20"/>
        </w:rPr>
        <w:t>eMTC</w:t>
      </w:r>
      <w:proofErr w:type="spellEnd"/>
      <w:r>
        <w:rPr>
          <w:rFonts w:ascii="Times New Roman" w:hAnsi="Times New Roman"/>
          <w:sz w:val="20"/>
          <w:szCs w:val="20"/>
        </w:rPr>
        <w:t xml:space="preserve">, current minimum allocation </w:t>
      </w:r>
      <w:r w:rsidR="00BD071D">
        <w:rPr>
          <w:rFonts w:ascii="Times New Roman" w:hAnsi="Times New Roman"/>
          <w:sz w:val="20"/>
          <w:szCs w:val="20"/>
        </w:rPr>
        <w:t>granularity</w:t>
      </w:r>
      <w:r>
        <w:rPr>
          <w:rFonts w:ascii="Times New Roman" w:hAnsi="Times New Roman"/>
          <w:sz w:val="20"/>
          <w:szCs w:val="20"/>
        </w:rPr>
        <w:t xml:space="preserve"> for PUSCH</w:t>
      </w:r>
      <w:r w:rsidR="00BA2B01">
        <w:rPr>
          <w:rFonts w:ascii="Times New Roman" w:hAnsi="Times New Roman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</w:t>
      </w:r>
      <w:r w:rsidR="00BD071D">
        <w:rPr>
          <w:rFonts w:ascii="Times New Roman" w:hAnsi="Times New Roman"/>
          <w:sz w:val="20"/>
          <w:szCs w:val="20"/>
        </w:rPr>
        <w:t xml:space="preserve">one </w:t>
      </w:r>
      <w:r>
        <w:rPr>
          <w:rFonts w:ascii="Times New Roman" w:hAnsi="Times New Roman"/>
          <w:sz w:val="20"/>
          <w:szCs w:val="20"/>
        </w:rPr>
        <w:t xml:space="preserve">RB. This is not every efficient in deep coverage scenario or in high SNR scenario with small data rate. </w:t>
      </w:r>
      <w:r w:rsidR="00BD071D">
        <w:rPr>
          <w:rFonts w:ascii="Times New Roman" w:hAnsi="Times New Roman"/>
          <w:sz w:val="20"/>
          <w:szCs w:val="20"/>
        </w:rPr>
        <w:t xml:space="preserve">In this contribution, we discuss </w:t>
      </w:r>
      <w:r>
        <w:rPr>
          <w:rFonts w:ascii="Times New Roman" w:hAnsi="Times New Roman"/>
          <w:sz w:val="20"/>
          <w:szCs w:val="20"/>
        </w:rPr>
        <w:t xml:space="preserve">sub-RB allocation for PUSCH </w:t>
      </w:r>
      <w:r w:rsidR="00BD071D">
        <w:rPr>
          <w:rFonts w:ascii="Times New Roman" w:hAnsi="Times New Roman"/>
          <w:sz w:val="20"/>
          <w:szCs w:val="20"/>
        </w:rPr>
        <w:t xml:space="preserve">by adopting NPRACH design </w:t>
      </w:r>
      <w:r>
        <w:rPr>
          <w:rFonts w:ascii="Times New Roman" w:hAnsi="Times New Roman"/>
          <w:sz w:val="20"/>
          <w:szCs w:val="20"/>
        </w:rPr>
        <w:t xml:space="preserve">in NB-IOT </w:t>
      </w:r>
      <w:r w:rsidR="00BD071D">
        <w:rPr>
          <w:rFonts w:ascii="Times New Roman" w:hAnsi="Times New Roman"/>
          <w:sz w:val="20"/>
          <w:szCs w:val="20"/>
        </w:rPr>
        <w:t>to</w:t>
      </w:r>
      <w:r>
        <w:rPr>
          <w:rFonts w:ascii="Times New Roman" w:hAnsi="Times New Roman"/>
          <w:sz w:val="20"/>
          <w:szCs w:val="20"/>
        </w:rPr>
        <w:t xml:space="preserve"> increase PUSCH spectral efficiency. </w:t>
      </w:r>
    </w:p>
    <w:p w14:paraId="1AC4EF3D" w14:textId="77777777" w:rsidR="00536814" w:rsidRDefault="00536814" w:rsidP="003570F9">
      <w:pPr>
        <w:jc w:val="both"/>
      </w:pP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6C83F99A" w14:textId="0E695285" w:rsidR="00856281" w:rsidRDefault="00F50CB3" w:rsidP="003059CF">
      <w:pPr>
        <w:rPr>
          <w:lang w:val="en-GB"/>
        </w:rPr>
      </w:pPr>
      <w:r>
        <w:rPr>
          <w:lang w:val="en-GB"/>
        </w:rPr>
        <w:t xml:space="preserve">In </w:t>
      </w:r>
      <w:r w:rsidR="003059CF">
        <w:rPr>
          <w:lang w:val="en-GB"/>
        </w:rPr>
        <w:t>NB-IOT</w:t>
      </w:r>
      <w:r>
        <w:rPr>
          <w:lang w:val="en-GB"/>
        </w:rPr>
        <w:t xml:space="preserve">, </w:t>
      </w:r>
      <w:r w:rsidR="003059CF">
        <w:rPr>
          <w:lang w:val="en-GB"/>
        </w:rPr>
        <w:t xml:space="preserve">sub-RB allocation for </w:t>
      </w:r>
      <w:r w:rsidR="00BD071D">
        <w:rPr>
          <w:lang w:val="en-GB"/>
        </w:rPr>
        <w:t>N</w:t>
      </w:r>
      <w:r w:rsidR="003059CF">
        <w:rPr>
          <w:lang w:val="en-GB"/>
        </w:rPr>
        <w:t xml:space="preserve">PUSCH is allowed. </w:t>
      </w:r>
      <w:r w:rsidR="00856281">
        <w:rPr>
          <w:lang w:val="en-GB"/>
        </w:rPr>
        <w:t xml:space="preserve">A resource unit of 1, 3, 6, 12 tones are supported. </w:t>
      </w:r>
      <w:r w:rsidR="00684C41">
        <w:rPr>
          <w:lang w:val="en-GB"/>
        </w:rPr>
        <w:t>In deep coverage scenario s</w:t>
      </w:r>
      <w:r w:rsidR="00856281">
        <w:rPr>
          <w:lang w:val="en-GB"/>
        </w:rPr>
        <w:t>ub-RB allocation of PUSCH allows more UEs to be multiplexed in the same RBs and hence increas</w:t>
      </w:r>
      <w:r w:rsidR="005648A0">
        <w:rPr>
          <w:lang w:val="en-GB"/>
        </w:rPr>
        <w:t>es</w:t>
      </w:r>
      <w:r w:rsidR="00856281">
        <w:rPr>
          <w:lang w:val="en-GB"/>
        </w:rPr>
        <w:t xml:space="preserve"> the user capacity. The details of the spec is copied here for </w:t>
      </w:r>
      <w:r w:rsidR="00816C92">
        <w:rPr>
          <w:lang w:val="en-GB"/>
        </w:rPr>
        <w:t>convenience [</w:t>
      </w:r>
      <w:r w:rsidR="00302191">
        <w:rPr>
          <w:lang w:val="en-GB"/>
        </w:rPr>
        <w:t>1]</w:t>
      </w:r>
      <w:r w:rsidR="00856281">
        <w:rPr>
          <w:lang w:val="en-GB"/>
        </w:rPr>
        <w:t xml:space="preserve">: </w:t>
      </w:r>
    </w:p>
    <w:p w14:paraId="4D0EA453" w14:textId="5365FE20" w:rsidR="005648A0" w:rsidRDefault="005648A0" w:rsidP="005648A0">
      <w:pPr>
        <w:jc w:val="center"/>
        <w:rPr>
          <w:lang w:val="en-GB"/>
        </w:rPr>
      </w:pPr>
      <w:r>
        <w:rPr>
          <w:lang w:val="en-GB"/>
        </w:rPr>
        <w:t>&lt;36.213&gt;</w:t>
      </w:r>
    </w:p>
    <w:p w14:paraId="785D9774" w14:textId="77777777" w:rsidR="00856281" w:rsidRDefault="00856281" w:rsidP="00856281">
      <w:r w:rsidRPr="00E9040D">
        <w:rPr>
          <w:rFonts w:hint="eastAsia"/>
        </w:rPr>
        <w:t>The resource allocation information</w:t>
      </w:r>
      <w:r w:rsidRPr="00E9040D">
        <w:t xml:space="preserve"> </w:t>
      </w:r>
      <w:r>
        <w:t xml:space="preserve">in uplink DCI format N0 for NPUSCH transmission </w:t>
      </w:r>
      <w:r w:rsidRPr="00E9040D">
        <w:rPr>
          <w:rFonts w:hint="eastAsia"/>
        </w:rPr>
        <w:t>indicates to a sch</w:t>
      </w:r>
      <w:r>
        <w:rPr>
          <w:rFonts w:hint="eastAsia"/>
        </w:rPr>
        <w:t>eduled UE</w:t>
      </w:r>
    </w:p>
    <w:p w14:paraId="39882DE9" w14:textId="77777777" w:rsidR="00856281" w:rsidRDefault="00856281" w:rsidP="00856281">
      <w:pPr>
        <w:numPr>
          <w:ilvl w:val="0"/>
          <w:numId w:val="48"/>
        </w:numPr>
        <w:spacing w:after="120"/>
      </w:pPr>
      <w:r>
        <w:rPr>
          <w:rFonts w:hint="eastAsia"/>
        </w:rPr>
        <w:t>a</w:t>
      </w:r>
      <w:r>
        <w:t xml:space="preserve"> </w:t>
      </w:r>
      <w:r w:rsidRPr="00E9040D">
        <w:rPr>
          <w:rFonts w:hint="eastAsia"/>
        </w:rPr>
        <w:t>set of contiguously allocated</w:t>
      </w:r>
      <w:r>
        <w:t xml:space="preserve"> subcarriers (</w:t>
      </w:r>
      <w:r w:rsidRPr="00E9040D">
        <w:rPr>
          <w:position w:val="-10"/>
        </w:rPr>
        <w:object w:dxaOrig="300" w:dyaOrig="340" w14:anchorId="3862843B">
          <v:shape id="_x0000_i1042" type="#_x0000_t75" style="width:15pt;height:16.7pt" o:ole="">
            <v:imagedata r:id="rId12" o:title=""/>
          </v:shape>
          <o:OLEObject Type="Embed" ProgID="Equation.3" ShapeID="_x0000_i1042" DrawAspect="Content" ObjectID="_1551889410" r:id="rId13"/>
        </w:object>
      </w:r>
      <w:r>
        <w:t xml:space="preserve">) of a resource unit determined by the Subcarrier indication field in the </w:t>
      </w:r>
      <w:r w:rsidRPr="000E2D54">
        <w:rPr>
          <w:rFonts w:hint="eastAsia"/>
          <w:lang w:eastAsia="zh-CN"/>
        </w:rPr>
        <w:t xml:space="preserve">corresponding </w:t>
      </w:r>
      <w:r>
        <w:t xml:space="preserve">DCI, </w:t>
      </w:r>
    </w:p>
    <w:p w14:paraId="3856055C" w14:textId="77777777" w:rsidR="00856281" w:rsidRPr="007947F5" w:rsidRDefault="00856281" w:rsidP="00856281">
      <w:pPr>
        <w:numPr>
          <w:ilvl w:val="0"/>
          <w:numId w:val="48"/>
        </w:numPr>
        <w:spacing w:after="120"/>
      </w:pPr>
      <w:r>
        <w:rPr>
          <w:lang w:eastAsia="zh-CN"/>
        </w:rPr>
        <w:t xml:space="preserve">a number of resource units </w:t>
      </w:r>
      <w:r w:rsidRPr="00E9040D">
        <w:t>(</w:t>
      </w:r>
      <w:r w:rsidRPr="00E9040D">
        <w:rPr>
          <w:position w:val="-10"/>
        </w:rPr>
        <w:object w:dxaOrig="440" w:dyaOrig="340" w14:anchorId="367798D6">
          <v:shape id="_x0000_i1043" type="#_x0000_t75" style="width:21.9pt;height:16.7pt" o:ole="">
            <v:imagedata r:id="rId14" o:title=""/>
          </v:shape>
          <o:OLEObject Type="Embed" ProgID="Equation.3" ShapeID="_x0000_i1043" DrawAspect="Content" ObjectID="_1551889411" r:id="rId15"/>
        </w:object>
      </w:r>
      <w:r w:rsidRPr="00E9040D">
        <w:t xml:space="preserve">) </w:t>
      </w:r>
      <w:r w:rsidRPr="000E2D54">
        <w:rPr>
          <w:rFonts w:hint="eastAsia"/>
          <w:lang w:eastAsia="zh-CN"/>
        </w:rPr>
        <w:t xml:space="preserve">determined by the </w:t>
      </w:r>
      <w:r>
        <w:rPr>
          <w:lang w:eastAsia="zh-CN"/>
        </w:rPr>
        <w:t>resource assignment</w:t>
      </w:r>
      <w:r w:rsidRPr="000E2D54">
        <w:rPr>
          <w:rFonts w:hint="eastAsia"/>
          <w:lang w:eastAsia="zh-CN"/>
        </w:rPr>
        <w:t xml:space="preserve"> </w:t>
      </w:r>
      <w:r w:rsidRPr="000E2D54">
        <w:rPr>
          <w:lang w:eastAsia="zh-CN"/>
        </w:rPr>
        <w:t xml:space="preserve">field </w:t>
      </w:r>
      <w:r w:rsidRPr="000E2D54"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according to Table 16.5.1.1-2,</w:t>
      </w:r>
    </w:p>
    <w:p w14:paraId="5C290E70" w14:textId="77777777" w:rsidR="00856281" w:rsidRDefault="00856281" w:rsidP="00856281">
      <w:r w:rsidRPr="005260A4">
        <w:t xml:space="preserve">The subcarrier spacing </w:t>
      </w:r>
      <w:r w:rsidRPr="009D44B9">
        <w:rPr>
          <w:position w:val="-10"/>
        </w:rPr>
        <w:object w:dxaOrig="340" w:dyaOrig="320" w14:anchorId="1A5B54FD">
          <v:shape id="_x0000_i1044" type="#_x0000_t75" style="width:17.3pt;height:15.55pt" o:ole="">
            <v:imagedata r:id="rId16" o:title=""/>
          </v:shape>
          <o:OLEObject Type="Embed" ProgID="Equation.DSMT4" ShapeID="_x0000_i1044" DrawAspect="Content" ObjectID="_1551889412" r:id="rId17"/>
        </w:object>
      </w:r>
      <w:r w:rsidRPr="005260A4">
        <w:t xml:space="preserve"> of NPUSCH transmission is determined by the uplink subcarrier spacing field in the Narrowband Random Access Response Grant according to </w:t>
      </w:r>
      <w:proofErr w:type="spellStart"/>
      <w:r w:rsidRPr="005260A4">
        <w:t>subclause</w:t>
      </w:r>
      <w:proofErr w:type="spellEnd"/>
      <w:r w:rsidRPr="005260A4">
        <w:t xml:space="preserve"> 16.3.3.</w:t>
      </w:r>
    </w:p>
    <w:p w14:paraId="2E1BCDBC" w14:textId="77777777" w:rsidR="00856281" w:rsidRDefault="00856281" w:rsidP="00856281">
      <w:pPr>
        <w:rPr>
          <w:lang w:eastAsia="zh-CN"/>
        </w:rPr>
      </w:pPr>
      <w:r>
        <w:t>For NPUSCH transmission with subcarrier spacing</w:t>
      </w:r>
      <w:r w:rsidRPr="00904B7F">
        <w:rPr>
          <w:position w:val="-10"/>
        </w:rPr>
        <w:object w:dxaOrig="1219" w:dyaOrig="300" w14:anchorId="3CD8244F">
          <v:shape id="_x0000_i1025" type="#_x0000_t75" style="width:56.45pt;height:14.4pt" o:ole="">
            <v:imagedata r:id="rId18" o:title=""/>
          </v:shape>
          <o:OLEObject Type="Embed" ProgID="Equation.3" ShapeID="_x0000_i1025" DrawAspect="Content" ObjectID="_1551889413" r:id="rId19"/>
        </w:object>
      </w:r>
      <w:r>
        <w:t xml:space="preserve">, </w:t>
      </w:r>
      <w:r w:rsidRPr="00E9040D">
        <w:rPr>
          <w:position w:val="-10"/>
        </w:rPr>
        <w:object w:dxaOrig="740" w:dyaOrig="340" w14:anchorId="4AF5BF98">
          <v:shape id="_x0000_i1026" type="#_x0000_t75" style="width:37.45pt;height:16.7pt" o:ole="">
            <v:imagedata r:id="rId20" o:title=""/>
          </v:shape>
          <o:OLEObject Type="Embed" ProgID="Equation.3" ShapeID="_x0000_i1026" DrawAspect="Content" ObjectID="_1551889414" r:id="rId21"/>
        </w:object>
      </w:r>
      <w:r>
        <w:t>where</w:t>
      </w:r>
      <w:r>
        <w:rPr>
          <w:lang w:eastAsia="zh-CN"/>
        </w:rPr>
        <w:t xml:space="preserve"> </w:t>
      </w:r>
      <w:r w:rsidRPr="00E9040D">
        <w:rPr>
          <w:position w:val="-10"/>
        </w:rPr>
        <w:object w:dxaOrig="279" w:dyaOrig="300" w14:anchorId="50C3FC57">
          <v:shape id="_x0000_i1027" type="#_x0000_t75" style="width:14.4pt;height:15pt" o:ole="">
            <v:imagedata r:id="rId22" o:title=""/>
          </v:shape>
          <o:OLEObject Type="Embed" ProgID="Equation.3" ShapeID="_x0000_i1027" DrawAspect="Content" ObjectID="_1551889415" r:id="rId23"/>
        </w:object>
      </w:r>
      <w:r>
        <w:t xml:space="preserve"> is </w:t>
      </w:r>
      <w:r w:rsidRPr="000E2D54">
        <w:rPr>
          <w:rFonts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0E2D54">
        <w:rPr>
          <w:rFonts w:hint="eastAsia"/>
          <w:lang w:eastAsia="zh-CN"/>
        </w:rPr>
        <w:t>DCI</w:t>
      </w:r>
      <w:r>
        <w:rPr>
          <w:lang w:eastAsia="zh-CN"/>
        </w:rPr>
        <w:t xml:space="preserve">. </w:t>
      </w:r>
      <w:r w:rsidRPr="00E9040D">
        <w:rPr>
          <w:position w:val="-10"/>
        </w:rPr>
        <w:object w:dxaOrig="1400" w:dyaOrig="300" w14:anchorId="09B47272">
          <v:shape id="_x0000_i1028" type="#_x0000_t75" style="width:70.25pt;height:15pt" o:ole="">
            <v:imagedata r:id="rId24" o:title=""/>
          </v:shape>
          <o:OLEObject Type="Embed" ProgID="Equation.3" ShapeID="_x0000_i1028" DrawAspect="Content" ObjectID="_1551889416" r:id="rId25"/>
        </w:object>
      </w:r>
      <w:proofErr w:type="gramStart"/>
      <w:r>
        <w:t>is</w:t>
      </w:r>
      <w:proofErr w:type="gramEnd"/>
      <w:r>
        <w:t xml:space="preserve"> reserved.</w:t>
      </w:r>
    </w:p>
    <w:p w14:paraId="7BB0601D" w14:textId="77777777" w:rsidR="00856281" w:rsidRDefault="00856281" w:rsidP="00856281">
      <w:r>
        <w:t>For NPUSCH transmission with subcarrier spacing</w:t>
      </w:r>
      <w:r w:rsidRPr="00904B7F">
        <w:rPr>
          <w:position w:val="-10"/>
        </w:rPr>
        <w:object w:dxaOrig="1060" w:dyaOrig="279" w14:anchorId="6A9734E9">
          <v:shape id="_x0000_i1029" type="#_x0000_t75" style="width:48.95pt;height:12.65pt" o:ole="">
            <v:imagedata r:id="rId26" o:title=""/>
          </v:shape>
          <o:OLEObject Type="Embed" ProgID="Equation.3" ShapeID="_x0000_i1029" DrawAspect="Content" ObjectID="_1551889417" r:id="rId27"/>
        </w:object>
      </w:r>
      <w:r>
        <w:t xml:space="preserve">, </w:t>
      </w:r>
      <w:r w:rsidRPr="000E2D54">
        <w:rPr>
          <w:rFonts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lang w:eastAsia="zh-CN"/>
        </w:rPr>
        <w:t xml:space="preserve"> </w:t>
      </w:r>
      <w:r>
        <w:rPr>
          <w:lang w:eastAsia="zh-CN"/>
        </w:rPr>
        <w:t>(</w:t>
      </w:r>
      <w:r w:rsidRPr="00E9040D">
        <w:rPr>
          <w:position w:val="-10"/>
        </w:rPr>
        <w:object w:dxaOrig="279" w:dyaOrig="300" w14:anchorId="45D5C302">
          <v:shape id="_x0000_i1030" type="#_x0000_t75" style="width:14.4pt;height:15pt" o:ole="">
            <v:imagedata r:id="rId22" o:title=""/>
          </v:shape>
          <o:OLEObject Type="Embed" ProgID="Equation.3" ShapeID="_x0000_i1030" DrawAspect="Content" ObjectID="_1551889418" r:id="rId28"/>
        </w:object>
      </w:r>
      <w:r>
        <w:t xml:space="preserve">) </w:t>
      </w:r>
      <w:r>
        <w:rPr>
          <w:rFonts w:hint="eastAsia"/>
          <w:lang w:eastAsia="zh-CN"/>
        </w:rPr>
        <w:t xml:space="preserve">in the </w:t>
      </w:r>
      <w:r w:rsidRPr="000E2D54">
        <w:rPr>
          <w:rFonts w:hint="eastAsia"/>
          <w:lang w:eastAsia="zh-CN"/>
        </w:rPr>
        <w:t>DCI</w:t>
      </w:r>
      <w:r>
        <w:rPr>
          <w:lang w:eastAsia="zh-CN"/>
        </w:rPr>
        <w:t xml:space="preserve"> determines the </w:t>
      </w:r>
      <w:r w:rsidRPr="00E9040D">
        <w:rPr>
          <w:rFonts w:hint="eastAsia"/>
        </w:rPr>
        <w:t>set of contiguously allocated</w:t>
      </w:r>
      <w:r>
        <w:t xml:space="preserve"> subcarriers (</w:t>
      </w:r>
      <w:r w:rsidRPr="00E9040D">
        <w:rPr>
          <w:position w:val="-10"/>
        </w:rPr>
        <w:object w:dxaOrig="300" w:dyaOrig="340" w14:anchorId="34A700F0">
          <v:shape id="_x0000_i1031" type="#_x0000_t75" style="width:15pt;height:16.7pt" o:ole="">
            <v:imagedata r:id="rId12" o:title=""/>
          </v:shape>
          <o:OLEObject Type="Embed" ProgID="Equation.3" ShapeID="_x0000_i1031" DrawAspect="Content" ObjectID="_1551889419" r:id="rId29"/>
        </w:object>
      </w:r>
      <w:r>
        <w:t>) according to Table 16.5.1.1-1.</w:t>
      </w:r>
    </w:p>
    <w:p w14:paraId="386428EE" w14:textId="77777777" w:rsidR="00856281" w:rsidRPr="00E9040D" w:rsidRDefault="00856281" w:rsidP="00856281">
      <w:pPr>
        <w:pStyle w:val="TH"/>
      </w:pPr>
      <w:r>
        <w:t>Table 16.5.1.1-1</w:t>
      </w:r>
      <w:r w:rsidRPr="00E9040D">
        <w:t xml:space="preserve">: </w:t>
      </w:r>
      <w:r>
        <w:t xml:space="preserve">Allocated subcarriers for NPUSCH </w:t>
      </w:r>
      <w:proofErr w:type="gramStart"/>
      <w:r>
        <w:t xml:space="preserve">with </w:t>
      </w:r>
      <w:proofErr w:type="gramEnd"/>
      <w:r w:rsidRPr="00904B7F">
        <w:rPr>
          <w:position w:val="-10"/>
        </w:rPr>
        <w:object w:dxaOrig="1060" w:dyaOrig="279" w14:anchorId="05DBCF88">
          <v:shape id="_x0000_i1032" type="#_x0000_t75" style="width:48.95pt;height:12.65pt" o:ole="">
            <v:imagedata r:id="rId26" o:title=""/>
          </v:shape>
          <o:OLEObject Type="Embed" ProgID="Equation.3" ShapeID="_x0000_i1032" DrawAspect="Content" ObjectID="_1551889420" r:id="rId30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3077"/>
      </w:tblGrid>
      <w:tr w:rsidR="00856281" w:rsidRPr="00E9040D" w14:paraId="2456E4A9" w14:textId="77777777" w:rsidTr="003E034A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7582F79E" w14:textId="77777777" w:rsidR="00856281" w:rsidRPr="00E9040D" w:rsidRDefault="00856281" w:rsidP="003E034A">
            <w:pPr>
              <w:pStyle w:val="TAH"/>
            </w:pPr>
            <w:r>
              <w:rPr>
                <w:lang w:eastAsia="zh-CN"/>
              </w:rPr>
              <w:t>Subcarrier indication field</w:t>
            </w:r>
            <w:r w:rsidRPr="000E2D5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E9040D">
              <w:rPr>
                <w:position w:val="-10"/>
              </w:rPr>
              <w:object w:dxaOrig="279" w:dyaOrig="300" w14:anchorId="5CB54DCD">
                <v:shape id="_x0000_i1033" type="#_x0000_t75" style="width:14.4pt;height:15pt" o:ole="">
                  <v:imagedata r:id="rId22" o:title=""/>
                </v:shape>
                <o:OLEObject Type="Embed" ProgID="Equation.3" ShapeID="_x0000_i1033" DrawAspect="Content" ObjectID="_1551889421" r:id="rId31"/>
              </w:object>
            </w:r>
            <w:r>
              <w:t>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625B57" w14:textId="77777777" w:rsidR="00856281" w:rsidRPr="00E9040D" w:rsidRDefault="00856281" w:rsidP="003E034A">
            <w:pPr>
              <w:pStyle w:val="TAH"/>
            </w:pPr>
            <w:r>
              <w:t>Set of A</w:t>
            </w:r>
            <w:r w:rsidRPr="00E9040D">
              <w:rPr>
                <w:rFonts w:hint="eastAsia"/>
              </w:rPr>
              <w:t>llocated</w:t>
            </w:r>
            <w:r>
              <w:t xml:space="preserve"> subcarriers (</w:t>
            </w:r>
            <w:r w:rsidRPr="00E9040D">
              <w:rPr>
                <w:position w:val="-10"/>
              </w:rPr>
              <w:object w:dxaOrig="300" w:dyaOrig="340" w14:anchorId="3276908F">
                <v:shape id="_x0000_i1034" type="#_x0000_t75" style="width:15pt;height:16.7pt" o:ole="">
                  <v:imagedata r:id="rId12" o:title=""/>
                </v:shape>
                <o:OLEObject Type="Embed" ProgID="Equation.3" ShapeID="_x0000_i1034" DrawAspect="Content" ObjectID="_1551889422" r:id="rId32"/>
              </w:object>
            </w:r>
            <w:r>
              <w:t xml:space="preserve">) </w:t>
            </w:r>
          </w:p>
        </w:tc>
      </w:tr>
      <w:tr w:rsidR="00856281" w:rsidRPr="00E9040D" w14:paraId="46656285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48EE8E2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0 – 1</w:t>
            </w:r>
            <w:r>
              <w:rPr>
                <w:lang w:val="de-DE"/>
              </w:rPr>
              <w:t>1</w:t>
            </w:r>
          </w:p>
        </w:tc>
        <w:tc>
          <w:tcPr>
            <w:tcW w:w="0" w:type="auto"/>
            <w:vAlign w:val="center"/>
          </w:tcPr>
          <w:p w14:paraId="6988F67F" w14:textId="77777777" w:rsidR="00856281" w:rsidRPr="0013150B" w:rsidRDefault="00856281" w:rsidP="003E034A">
            <w:pPr>
              <w:pStyle w:val="TAC"/>
              <w:rPr>
                <w:i/>
                <w:lang w:val="de-DE"/>
              </w:rPr>
            </w:pPr>
            <w:r w:rsidRPr="00E9040D">
              <w:rPr>
                <w:position w:val="-10"/>
              </w:rPr>
              <w:object w:dxaOrig="279" w:dyaOrig="300" w14:anchorId="099484AF">
                <v:shape id="_x0000_i1035" type="#_x0000_t75" style="width:14.4pt;height:15pt" o:ole="">
                  <v:imagedata r:id="rId22" o:title=""/>
                </v:shape>
                <o:OLEObject Type="Embed" ProgID="Equation.3" ShapeID="_x0000_i1035" DrawAspect="Content" ObjectID="_1551889423" r:id="rId33"/>
              </w:object>
            </w:r>
          </w:p>
        </w:tc>
      </w:tr>
      <w:tr w:rsidR="00856281" w:rsidRPr="00E9040D" w14:paraId="339D38F6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A814FE0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12-15</w:t>
            </w:r>
          </w:p>
        </w:tc>
        <w:tc>
          <w:tcPr>
            <w:tcW w:w="0" w:type="auto"/>
            <w:vAlign w:val="center"/>
          </w:tcPr>
          <w:p w14:paraId="0DE209C3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520" w:dyaOrig="300" w14:anchorId="21B2F309">
                <v:shape id="_x0000_i1036" type="#_x0000_t75" style="width:76.6pt;height:15pt" o:ole="">
                  <v:imagedata r:id="rId34" o:title=""/>
                </v:shape>
                <o:OLEObject Type="Embed" ProgID="Equation.3" ShapeID="_x0000_i1036" DrawAspect="Content" ObjectID="_1551889424" r:id="rId35"/>
              </w:object>
            </w:r>
          </w:p>
        </w:tc>
      </w:tr>
      <w:tr w:rsidR="00856281" w:rsidRPr="00E9040D" w14:paraId="68F16EDD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19EF4E8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16-17</w:t>
            </w:r>
          </w:p>
        </w:tc>
        <w:tc>
          <w:tcPr>
            <w:tcW w:w="0" w:type="auto"/>
            <w:vAlign w:val="center"/>
          </w:tcPr>
          <w:p w14:paraId="3A264352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939" w:dyaOrig="300" w14:anchorId="6922625B">
                <v:shape id="_x0000_i1037" type="#_x0000_t75" style="width:97.35pt;height:15pt" o:ole="">
                  <v:imagedata r:id="rId36" o:title=""/>
                </v:shape>
                <o:OLEObject Type="Embed" ProgID="Equation.3" ShapeID="_x0000_i1037" DrawAspect="Content" ObjectID="_1551889425" r:id="rId37"/>
              </w:object>
            </w:r>
          </w:p>
        </w:tc>
      </w:tr>
      <w:tr w:rsidR="00856281" w:rsidRPr="00E9040D" w14:paraId="239838EA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1136F878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18</w:t>
            </w:r>
          </w:p>
        </w:tc>
        <w:tc>
          <w:tcPr>
            <w:tcW w:w="0" w:type="auto"/>
            <w:vAlign w:val="center"/>
          </w:tcPr>
          <w:p w14:paraId="04E6C174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980" w:dyaOrig="300" w14:anchorId="67241ED7">
                <v:shape id="_x0000_i1038" type="#_x0000_t75" style="width:99.65pt;height:15pt" o:ole="">
                  <v:imagedata r:id="rId38" o:title=""/>
                </v:shape>
                <o:OLEObject Type="Embed" ProgID="Equation.3" ShapeID="_x0000_i1038" DrawAspect="Content" ObjectID="_1551889426" r:id="rId39"/>
              </w:object>
            </w:r>
          </w:p>
        </w:tc>
      </w:tr>
      <w:tr w:rsidR="00856281" w:rsidRPr="00E9040D" w14:paraId="24F5F9B8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21CC1E36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19-63</w:t>
            </w:r>
          </w:p>
        </w:tc>
        <w:tc>
          <w:tcPr>
            <w:tcW w:w="0" w:type="auto"/>
            <w:vAlign w:val="center"/>
          </w:tcPr>
          <w:p w14:paraId="2EAFAFBF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t>Reserved</w:t>
            </w:r>
          </w:p>
        </w:tc>
      </w:tr>
    </w:tbl>
    <w:p w14:paraId="0B79DEB0" w14:textId="77777777" w:rsidR="00856281" w:rsidRDefault="00856281" w:rsidP="00856281"/>
    <w:p w14:paraId="5D60CD6B" w14:textId="77777777" w:rsidR="00856281" w:rsidRPr="00C25260" w:rsidRDefault="00856281" w:rsidP="00856281">
      <w:pPr>
        <w:pStyle w:val="TH"/>
      </w:pPr>
      <w:r w:rsidRPr="00C25260">
        <w:rPr>
          <w:lang w:val="fr-FR"/>
        </w:rPr>
        <w:lastRenderedPageBreak/>
        <w:t xml:space="preserve">Table </w:t>
      </w:r>
      <w:r>
        <w:t>16.5.1.1-2</w:t>
      </w:r>
      <w:r w:rsidRPr="00C25260">
        <w:rPr>
          <w:lang w:val="fr-FR"/>
        </w:rPr>
        <w:t xml:space="preserve">: </w:t>
      </w:r>
      <w:r>
        <w:rPr>
          <w:lang w:eastAsia="zh-CN"/>
        </w:rPr>
        <w:t xml:space="preserve">Number of resource units </w:t>
      </w:r>
      <w:r w:rsidRPr="00E9040D">
        <w:t>(</w:t>
      </w:r>
      <w:r w:rsidRPr="00E9040D">
        <w:rPr>
          <w:position w:val="-10"/>
        </w:rPr>
        <w:object w:dxaOrig="440" w:dyaOrig="340" w14:anchorId="6FBFF984">
          <v:shape id="_x0000_i1039" type="#_x0000_t75" style="width:21.9pt;height:16.7pt" o:ole="">
            <v:imagedata r:id="rId14" o:title=""/>
          </v:shape>
          <o:OLEObject Type="Embed" ProgID="Equation.3" ShapeID="_x0000_i1039" DrawAspect="Content" ObjectID="_1551889427" r:id="rId40"/>
        </w:object>
      </w:r>
      <w:r w:rsidRPr="00E9040D">
        <w:t xml:space="preserve">) </w:t>
      </w:r>
      <w:r w:rsidRPr="00C25260">
        <w:t xml:space="preserve">for </w:t>
      </w:r>
      <w:r>
        <w:t>NPU</w:t>
      </w:r>
      <w:r w:rsidRPr="00C25260">
        <w:t>SCH.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856281" w:rsidRPr="00C25260" w14:paraId="74E150CE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B566A6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b/>
              </w:rPr>
            </w:pPr>
            <w:r w:rsidRPr="00E9040D">
              <w:rPr>
                <w:position w:val="-10"/>
              </w:rPr>
              <w:object w:dxaOrig="360" w:dyaOrig="340" w14:anchorId="32D42DDF">
                <v:shape id="_x0000_i1040" type="#_x0000_t75" style="width:17.85pt;height:16.7pt" o:ole="">
                  <v:imagedata r:id="rId41" o:title=""/>
                </v:shape>
                <o:OLEObject Type="Embed" ProgID="Equation.3" ShapeID="_x0000_i1040" DrawAspect="Content" ObjectID="_1551889428" r:id="rId42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B2FD3E7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E9040D">
              <w:rPr>
                <w:position w:val="-10"/>
              </w:rPr>
              <w:object w:dxaOrig="440" w:dyaOrig="340" w14:anchorId="10F093AA">
                <v:shape id="_x0000_i1041" type="#_x0000_t75" style="width:21.9pt;height:16.7pt" o:ole="">
                  <v:imagedata r:id="rId14" o:title=""/>
                </v:shape>
                <o:OLEObject Type="Embed" ProgID="Equation.3" ShapeID="_x0000_i1041" DrawAspect="Content" ObjectID="_1551889429" r:id="rId43"/>
              </w:object>
            </w:r>
          </w:p>
        </w:tc>
      </w:tr>
      <w:tr w:rsidR="00856281" w:rsidRPr="00C25260" w14:paraId="79EAF699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5F3D6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81C1A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</w:tr>
      <w:tr w:rsidR="00856281" w:rsidRPr="00C25260" w14:paraId="49342714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344AB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6E1BFB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</w:tr>
      <w:tr w:rsidR="00856281" w:rsidRPr="00C25260" w14:paraId="47BBE5FA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BFB43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320BD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</w:tr>
      <w:tr w:rsidR="00856281" w:rsidRPr="00C25260" w14:paraId="6376BF0A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27034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74033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260">
              <w:rPr>
                <w:rFonts w:ascii="Arial" w:eastAsia="MS Mincho" w:hAnsi="Arial"/>
                <w:iCs/>
                <w:sz w:val="18"/>
                <w:lang w:eastAsia="ja-JP"/>
              </w:rPr>
              <w:t>4</w:t>
            </w:r>
          </w:p>
        </w:tc>
      </w:tr>
      <w:tr w:rsidR="00856281" w:rsidRPr="00C25260" w14:paraId="79613542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BCCA8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723B2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5</w:t>
            </w:r>
          </w:p>
        </w:tc>
      </w:tr>
      <w:tr w:rsidR="00856281" w:rsidRPr="00C25260" w14:paraId="7FA8C0D0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51DC3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3942F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260">
              <w:rPr>
                <w:rFonts w:ascii="Arial" w:eastAsia="MS Mincho" w:hAnsi="Arial"/>
                <w:iCs/>
                <w:sz w:val="18"/>
                <w:lang w:eastAsia="ja-JP"/>
              </w:rPr>
              <w:t>6</w:t>
            </w:r>
          </w:p>
        </w:tc>
      </w:tr>
      <w:tr w:rsidR="00856281" w:rsidRPr="00C25260" w14:paraId="41F4FC81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9E194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FA18A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8</w:t>
            </w:r>
          </w:p>
        </w:tc>
      </w:tr>
      <w:tr w:rsidR="00856281" w:rsidRPr="00C25260" w14:paraId="5C64758D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7C4BD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38BBB" w14:textId="77777777" w:rsidR="00856281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10</w:t>
            </w:r>
          </w:p>
        </w:tc>
      </w:tr>
    </w:tbl>
    <w:p w14:paraId="0F088AD0" w14:textId="77777777" w:rsidR="005648A0" w:rsidRDefault="005648A0" w:rsidP="005648A0">
      <w:pPr>
        <w:jc w:val="center"/>
        <w:rPr>
          <w:lang w:val="en-GB"/>
        </w:rPr>
      </w:pPr>
    </w:p>
    <w:p w14:paraId="07622DC3" w14:textId="5C825520" w:rsidR="005648A0" w:rsidRDefault="005648A0" w:rsidP="005648A0">
      <w:pPr>
        <w:jc w:val="center"/>
        <w:rPr>
          <w:lang w:val="en-GB"/>
        </w:rPr>
      </w:pPr>
      <w:r>
        <w:rPr>
          <w:lang w:val="en-GB"/>
        </w:rPr>
        <w:t>&lt;</w:t>
      </w:r>
      <w:r>
        <w:rPr>
          <w:lang w:val="en-GB"/>
        </w:rPr>
        <w:t>/</w:t>
      </w:r>
      <w:r>
        <w:rPr>
          <w:lang w:val="en-GB"/>
        </w:rPr>
        <w:t>36.213&gt;</w:t>
      </w:r>
    </w:p>
    <w:p w14:paraId="687293A8" w14:textId="76952305" w:rsidR="00302191" w:rsidRDefault="00856281" w:rsidP="0059751D">
      <w:pPr>
        <w:rPr>
          <w:lang w:val="en-GB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, we have the similar deep coverage scenario but current minimum resource allocation </w:t>
      </w:r>
      <w:r w:rsidR="00A21BF5">
        <w:rPr>
          <w:lang w:val="en-GB"/>
        </w:rPr>
        <w:t xml:space="preserve">granularity </w:t>
      </w:r>
      <w:r>
        <w:rPr>
          <w:lang w:val="en-GB"/>
        </w:rPr>
        <w:t xml:space="preserve">is still </w:t>
      </w:r>
      <w:r w:rsidR="00302191">
        <w:rPr>
          <w:lang w:val="en-GB"/>
        </w:rPr>
        <w:t xml:space="preserve">limited to </w:t>
      </w:r>
      <w:r w:rsidR="00A21BF5">
        <w:rPr>
          <w:lang w:val="en-GB"/>
        </w:rPr>
        <w:t>one</w:t>
      </w:r>
      <w:r>
        <w:rPr>
          <w:lang w:val="en-GB"/>
        </w:rPr>
        <w:t xml:space="preserve"> RB. Due to power limitation, </w:t>
      </w:r>
      <w:r w:rsidR="00302191">
        <w:rPr>
          <w:lang w:val="en-GB"/>
        </w:rPr>
        <w:t>allocating more bandwidth will not increase data rate</w:t>
      </w:r>
      <w:r w:rsidR="00A21BF5">
        <w:rPr>
          <w:lang w:val="en-GB"/>
        </w:rPr>
        <w:t xml:space="preserve"> in deep coverage scenario</w:t>
      </w:r>
      <w:r w:rsidR="00302191">
        <w:rPr>
          <w:lang w:val="en-GB"/>
        </w:rPr>
        <w:t xml:space="preserve">. Correspondingly </w:t>
      </w:r>
      <w:r w:rsidR="00A21BF5">
        <w:rPr>
          <w:lang w:val="en-GB"/>
        </w:rPr>
        <w:t>reducing resource allocation to</w:t>
      </w:r>
      <w:r w:rsidR="00302191">
        <w:rPr>
          <w:lang w:val="en-GB"/>
        </w:rPr>
        <w:t xml:space="preserve"> sub-RB allocation </w:t>
      </w:r>
      <w:r>
        <w:rPr>
          <w:lang w:val="en-GB"/>
        </w:rPr>
        <w:t xml:space="preserve">will not degrade </w:t>
      </w:r>
      <w:r w:rsidR="00302191">
        <w:rPr>
          <w:lang w:val="en-GB"/>
        </w:rPr>
        <w:t>a UE’s data</w:t>
      </w:r>
      <w:r>
        <w:rPr>
          <w:lang w:val="en-GB"/>
        </w:rPr>
        <w:t xml:space="preserve"> rate but may allow more UEs to be multiplexed in the RBs with FDM. It is therefore desirable to </w:t>
      </w:r>
      <w:r w:rsidR="00A21BF5">
        <w:rPr>
          <w:lang w:val="en-GB"/>
        </w:rPr>
        <w:t>add</w:t>
      </w:r>
      <w:r>
        <w:rPr>
          <w:lang w:val="en-GB"/>
        </w:rPr>
        <w:t xml:space="preserve"> sub-RB allocation </w:t>
      </w:r>
      <w:r w:rsidR="00A21BF5">
        <w:rPr>
          <w:lang w:val="en-GB"/>
        </w:rPr>
        <w:t xml:space="preserve">support </w:t>
      </w:r>
      <w:r>
        <w:rPr>
          <w:lang w:val="en-GB"/>
        </w:rPr>
        <w:t xml:space="preserve">to </w:t>
      </w:r>
      <w:r w:rsidR="00A21BF5">
        <w:rPr>
          <w:lang w:val="en-GB"/>
        </w:rPr>
        <w:t xml:space="preserve">PUSCH in </w:t>
      </w:r>
      <w:proofErr w:type="spellStart"/>
      <w:r>
        <w:rPr>
          <w:lang w:val="en-GB"/>
        </w:rPr>
        <w:t>eMTC</w:t>
      </w:r>
      <w:proofErr w:type="spellEnd"/>
      <w:r w:rsidR="0059751D">
        <w:rPr>
          <w:lang w:val="en-GB"/>
        </w:rPr>
        <w:t>.</w:t>
      </w:r>
      <w:r w:rsidR="0059751D" w:rsidRPr="0059751D">
        <w:rPr>
          <w:lang w:val="en-GB"/>
        </w:rPr>
        <w:t xml:space="preserve"> </w:t>
      </w:r>
    </w:p>
    <w:p w14:paraId="57E8BF8C" w14:textId="13A2486D" w:rsidR="0059751D" w:rsidRDefault="0059751D" w:rsidP="0059751D">
      <w:pPr>
        <w:rPr>
          <w:lang w:val="en-GB"/>
        </w:rPr>
      </w:pPr>
      <w:r>
        <w:rPr>
          <w:lang w:val="en-GB"/>
        </w:rPr>
        <w:t xml:space="preserve">Even in higher SNR scenario, a low </w:t>
      </w:r>
      <w:r w:rsidR="00302191">
        <w:rPr>
          <w:lang w:val="en-GB"/>
        </w:rPr>
        <w:t xml:space="preserve">data </w:t>
      </w:r>
      <w:r>
        <w:rPr>
          <w:lang w:val="en-GB"/>
        </w:rPr>
        <w:t xml:space="preserve">rate UE may have </w:t>
      </w:r>
      <w:r w:rsidR="00302191">
        <w:rPr>
          <w:lang w:val="en-GB"/>
        </w:rPr>
        <w:t xml:space="preserve">only </w:t>
      </w:r>
      <w:r>
        <w:rPr>
          <w:lang w:val="en-GB"/>
        </w:rPr>
        <w:t>small payload to transmit</w:t>
      </w:r>
      <w:r w:rsidR="00302191">
        <w:rPr>
          <w:lang w:val="en-GB"/>
        </w:rPr>
        <w:t>,</w:t>
      </w:r>
      <w:r>
        <w:rPr>
          <w:lang w:val="en-GB"/>
        </w:rPr>
        <w:t xml:space="preserve"> </w:t>
      </w:r>
      <w:r w:rsidR="00302191">
        <w:rPr>
          <w:lang w:val="en-GB"/>
        </w:rPr>
        <w:t xml:space="preserve">and a full </w:t>
      </w:r>
      <w:r>
        <w:rPr>
          <w:lang w:val="en-GB"/>
        </w:rPr>
        <w:t xml:space="preserve">RB allocation </w:t>
      </w:r>
      <w:r w:rsidR="003A2175">
        <w:rPr>
          <w:lang w:val="en-GB"/>
        </w:rPr>
        <w:t>could be</w:t>
      </w:r>
      <w:r>
        <w:rPr>
          <w:lang w:val="en-GB"/>
        </w:rPr>
        <w:t xml:space="preserve"> over design for its setting. </w:t>
      </w:r>
      <w:r w:rsidR="003A2175">
        <w:rPr>
          <w:lang w:val="en-GB"/>
        </w:rPr>
        <w:t>If</w:t>
      </w:r>
      <w:r>
        <w:rPr>
          <w:lang w:val="en-GB"/>
        </w:rPr>
        <w:t xml:space="preserve"> sub-RB allocation is allowed, the UE may transmit its data with a 16QAM modulation and 3 </w:t>
      </w:r>
      <w:r w:rsidR="00CB586B">
        <w:rPr>
          <w:lang w:val="en-GB"/>
        </w:rPr>
        <w:t xml:space="preserve">tones </w:t>
      </w:r>
      <w:r>
        <w:rPr>
          <w:lang w:val="en-GB"/>
        </w:rPr>
        <w:t>only</w:t>
      </w:r>
      <w:r w:rsidR="00302191">
        <w:rPr>
          <w:lang w:val="en-GB"/>
        </w:rPr>
        <w:t xml:space="preserve"> and still meet its performance requirement</w:t>
      </w:r>
      <w:r>
        <w:rPr>
          <w:lang w:val="en-GB"/>
        </w:rPr>
        <w:t xml:space="preserve">. </w:t>
      </w:r>
      <w:r w:rsidR="00302191">
        <w:rPr>
          <w:lang w:val="en-GB"/>
        </w:rPr>
        <w:t xml:space="preserve">The remaining fractional RBs may then be used for other UEs. </w:t>
      </w:r>
      <w:proofErr w:type="gramStart"/>
      <w:r>
        <w:rPr>
          <w:lang w:val="en-GB"/>
        </w:rPr>
        <w:t>This</w:t>
      </w:r>
      <w:proofErr w:type="gramEnd"/>
      <w:r>
        <w:rPr>
          <w:lang w:val="en-GB"/>
        </w:rPr>
        <w:t xml:space="preserve"> can significantly boost the system user</w:t>
      </w:r>
      <w:r w:rsidR="00302191">
        <w:rPr>
          <w:lang w:val="en-GB"/>
        </w:rPr>
        <w:t xml:space="preserve"> </w:t>
      </w:r>
      <w:r w:rsidR="00DD5889">
        <w:rPr>
          <w:lang w:val="en-GB"/>
        </w:rPr>
        <w:t xml:space="preserve">capacity </w:t>
      </w:r>
      <w:r w:rsidR="00302191">
        <w:rPr>
          <w:lang w:val="en-GB"/>
        </w:rPr>
        <w:t>even in high SNR scenario</w:t>
      </w:r>
      <w:r>
        <w:rPr>
          <w:lang w:val="en-GB"/>
        </w:rPr>
        <w:t xml:space="preserve">. We therefore </w:t>
      </w:r>
      <w:r w:rsidR="00BA2B01">
        <w:rPr>
          <w:lang w:val="en-GB"/>
        </w:rPr>
        <w:t>make</w:t>
      </w:r>
      <w:r>
        <w:rPr>
          <w:lang w:val="en-GB"/>
        </w:rPr>
        <w:t xml:space="preserve"> the follow proposal: </w:t>
      </w:r>
    </w:p>
    <w:p w14:paraId="56BF03B1" w14:textId="26EC3C63" w:rsidR="00856281" w:rsidRPr="005648A0" w:rsidRDefault="00856281" w:rsidP="00A55AF1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 w:rsidR="00362223" w:rsidRPr="005648A0">
        <w:rPr>
          <w:b/>
          <w:lang w:val="en-GB"/>
        </w:rPr>
        <w:t xml:space="preserve">Support sub-RB allocation in </w:t>
      </w:r>
      <w:proofErr w:type="spellStart"/>
      <w:r w:rsidR="00362223" w:rsidRPr="005648A0">
        <w:rPr>
          <w:b/>
          <w:lang w:val="en-GB"/>
        </w:rPr>
        <w:t>eMTC</w:t>
      </w:r>
      <w:proofErr w:type="spellEnd"/>
      <w:r w:rsidR="00362223" w:rsidRPr="005648A0">
        <w:rPr>
          <w:b/>
          <w:lang w:val="en-GB"/>
        </w:rPr>
        <w:t xml:space="preserve"> by adopting</w:t>
      </w:r>
      <w:r w:rsidRPr="005648A0">
        <w:rPr>
          <w:b/>
          <w:lang w:val="en-GB"/>
        </w:rPr>
        <w:t xml:space="preserve"> </w:t>
      </w:r>
      <w:r w:rsidR="00362223" w:rsidRPr="005648A0">
        <w:rPr>
          <w:b/>
          <w:lang w:val="en-GB"/>
        </w:rPr>
        <w:t>NPUSCH design in</w:t>
      </w:r>
      <w:r w:rsidRPr="005648A0">
        <w:rPr>
          <w:b/>
          <w:lang w:val="en-GB"/>
        </w:rPr>
        <w:t xml:space="preserve"> NB-IOT </w:t>
      </w:r>
      <w:r w:rsidR="00362223" w:rsidRPr="005648A0">
        <w:rPr>
          <w:b/>
          <w:lang w:val="en-GB"/>
        </w:rPr>
        <w:t>as baseline</w:t>
      </w:r>
    </w:p>
    <w:p w14:paraId="359E4098" w14:textId="783C2A8E" w:rsidR="00332616" w:rsidRPr="005648A0" w:rsidRDefault="0059751D" w:rsidP="00332616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A</w:t>
      </w:r>
      <w:r w:rsidR="00332616" w:rsidRPr="005648A0">
        <w:rPr>
          <w:rFonts w:ascii="Times New Roman" w:hAnsi="Times New Roman"/>
          <w:b/>
          <w:sz w:val="20"/>
          <w:lang w:val="en-GB"/>
        </w:rPr>
        <w:t>llowable number of tones per resource unit: 1, 3, 6, and 12</w:t>
      </w:r>
    </w:p>
    <w:p w14:paraId="496A89D5" w14:textId="0FDC27E4" w:rsidR="00362223" w:rsidRPr="005648A0" w:rsidRDefault="00362223" w:rsidP="00362223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No support</w:t>
      </w:r>
      <w:r w:rsidR="005648A0" w:rsidRPr="005648A0">
        <w:rPr>
          <w:rFonts w:ascii="Times New Roman" w:hAnsi="Times New Roman"/>
          <w:b/>
          <w:sz w:val="20"/>
          <w:lang w:val="en-GB"/>
        </w:rPr>
        <w:t xml:space="preserve"> of</w:t>
      </w:r>
      <w:r w:rsidRPr="005648A0">
        <w:rPr>
          <w:rFonts w:ascii="Times New Roman" w:hAnsi="Times New Roman"/>
          <w:b/>
          <w:sz w:val="20"/>
          <w:lang w:val="en-GB"/>
        </w:rPr>
        <w:t xml:space="preserve"> 3.75KHz subcarrier spacing</w:t>
      </w:r>
    </w:p>
    <w:p w14:paraId="37397C74" w14:textId="0BF30E7A" w:rsidR="0059751D" w:rsidRPr="005648A0" w:rsidRDefault="00362223" w:rsidP="00332616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 xml:space="preserve">Consider </w:t>
      </w:r>
      <w:r w:rsidR="00CB586B" w:rsidRPr="005648A0">
        <w:rPr>
          <w:rFonts w:ascii="Times New Roman" w:hAnsi="Times New Roman"/>
          <w:b/>
          <w:sz w:val="20"/>
          <w:lang w:val="en-GB"/>
        </w:rPr>
        <w:t xml:space="preserve">further modulation </w:t>
      </w:r>
      <w:r w:rsidRPr="005648A0">
        <w:rPr>
          <w:rFonts w:ascii="Times New Roman" w:hAnsi="Times New Roman"/>
          <w:b/>
          <w:sz w:val="20"/>
          <w:lang w:val="en-GB"/>
        </w:rPr>
        <w:t>enhancement</w:t>
      </w:r>
      <w:r w:rsidR="005648A0" w:rsidRPr="005648A0">
        <w:rPr>
          <w:rFonts w:ascii="Times New Roman" w:hAnsi="Times New Roman"/>
          <w:b/>
          <w:sz w:val="20"/>
          <w:lang w:val="en-GB"/>
        </w:rPr>
        <w:t>s</w:t>
      </w:r>
      <w:r w:rsidRPr="005648A0">
        <w:rPr>
          <w:rFonts w:ascii="Times New Roman" w:hAnsi="Times New Roman"/>
          <w:b/>
          <w:sz w:val="20"/>
          <w:lang w:val="en-GB"/>
        </w:rPr>
        <w:t xml:space="preserve"> e.g., </w:t>
      </w:r>
      <w:r w:rsidR="00EE1C09" w:rsidRPr="005648A0">
        <w:rPr>
          <w:rFonts w:ascii="Times New Roman" w:hAnsi="Times New Roman"/>
          <w:b/>
          <w:sz w:val="20"/>
          <w:lang w:val="en-GB"/>
        </w:rPr>
        <w:t>16QAM.</w:t>
      </w:r>
    </w:p>
    <w:p w14:paraId="6D037021" w14:textId="77777777" w:rsidR="003059CF" w:rsidRDefault="003059CF" w:rsidP="00A55AF1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2" w:name="_Ref378529477"/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t>Conclusions</w:t>
      </w:r>
    </w:p>
    <w:bookmarkEnd w:id="2"/>
    <w:bookmarkEnd w:id="3"/>
    <w:bookmarkEnd w:id="4"/>
    <w:bookmarkEnd w:id="5"/>
    <w:bookmarkEnd w:id="6"/>
    <w:bookmarkEnd w:id="7"/>
    <w:bookmarkEnd w:id="8"/>
    <w:p w14:paraId="72B95BD9" w14:textId="3DA6C928" w:rsidR="00975ABF" w:rsidRDefault="00975ABF" w:rsidP="00975ABF">
      <w:pPr>
        <w:rPr>
          <w:lang w:val="en-GB"/>
        </w:rPr>
      </w:pPr>
      <w:r>
        <w:rPr>
          <w:lang w:val="en-GB"/>
        </w:rPr>
        <w:t>In this document, we consider</w:t>
      </w:r>
      <w:r w:rsidR="00077400">
        <w:rPr>
          <w:lang w:val="en-GB"/>
        </w:rPr>
        <w:t xml:space="preserve"> a</w:t>
      </w:r>
      <w:r>
        <w:rPr>
          <w:lang w:val="en-GB"/>
        </w:rPr>
        <w:t xml:space="preserve"> </w:t>
      </w:r>
      <w:r w:rsidR="00077400">
        <w:rPr>
          <w:lang w:val="en-GB"/>
        </w:rPr>
        <w:t xml:space="preserve">possible way to increase PUSCH spectral efficiency by </w:t>
      </w:r>
      <w:r w:rsidR="00BA2B01">
        <w:rPr>
          <w:lang w:val="en-GB"/>
        </w:rPr>
        <w:t>allowing</w:t>
      </w:r>
      <w:r w:rsidR="00077400">
        <w:rPr>
          <w:lang w:val="en-GB"/>
        </w:rPr>
        <w:t xml:space="preserve"> the sub-RB allocation for PUSCH in </w:t>
      </w:r>
      <w:proofErr w:type="spellStart"/>
      <w:r w:rsidR="00BA2B01">
        <w:rPr>
          <w:lang w:val="en-GB"/>
        </w:rPr>
        <w:t>eMTC</w:t>
      </w:r>
      <w:proofErr w:type="spellEnd"/>
      <w:r w:rsidR="00BA2B01">
        <w:rPr>
          <w:lang w:val="en-GB"/>
        </w:rPr>
        <w:t xml:space="preserve"> similar to </w:t>
      </w:r>
      <w:r w:rsidR="00077400">
        <w:rPr>
          <w:lang w:val="en-GB"/>
        </w:rPr>
        <w:t xml:space="preserve">NB-IOT. In deep coverage scenario or in a high SNR scenario with low data rate, sub-RB allocation </w:t>
      </w:r>
      <w:r w:rsidR="00BA2B01">
        <w:rPr>
          <w:lang w:val="en-GB"/>
        </w:rPr>
        <w:t xml:space="preserve">may </w:t>
      </w:r>
      <w:r w:rsidR="00077400">
        <w:rPr>
          <w:lang w:val="en-GB"/>
        </w:rPr>
        <w:t>allow more UEs to be multiplexed in the same RBs and hence increase system user capacity. We therefore make the following proposal</w:t>
      </w:r>
      <w:r w:rsidR="003B10DA">
        <w:rPr>
          <w:lang w:val="en-GB"/>
        </w:rPr>
        <w:t>:</w:t>
      </w:r>
    </w:p>
    <w:p w14:paraId="527F8F47" w14:textId="77777777" w:rsidR="005648A0" w:rsidRPr="005648A0" w:rsidRDefault="005648A0" w:rsidP="005648A0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Support sub-RB allocation in </w:t>
      </w:r>
      <w:proofErr w:type="spellStart"/>
      <w:r w:rsidRPr="005648A0">
        <w:rPr>
          <w:b/>
          <w:lang w:val="en-GB"/>
        </w:rPr>
        <w:t>eMTC</w:t>
      </w:r>
      <w:proofErr w:type="spellEnd"/>
      <w:r w:rsidRPr="005648A0">
        <w:rPr>
          <w:b/>
          <w:lang w:val="en-GB"/>
        </w:rPr>
        <w:t xml:space="preserve"> by adopting NPUSCH design in NB-IOT as baseline</w:t>
      </w:r>
    </w:p>
    <w:p w14:paraId="02A884CB" w14:textId="77777777" w:rsidR="005648A0" w:rsidRPr="005648A0" w:rsidRDefault="005648A0" w:rsidP="005648A0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Allowable number of tones per resource unit: 1, 3, 6, and 12</w:t>
      </w:r>
    </w:p>
    <w:p w14:paraId="15FB05BD" w14:textId="77777777" w:rsidR="005648A0" w:rsidRPr="005648A0" w:rsidRDefault="005648A0" w:rsidP="005648A0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No support of 3.75KHz subcarrier spacing</w:t>
      </w:r>
    </w:p>
    <w:p w14:paraId="5A17DAA9" w14:textId="77777777" w:rsidR="005648A0" w:rsidRPr="005648A0" w:rsidRDefault="005648A0" w:rsidP="005648A0">
      <w:pPr>
        <w:pStyle w:val="ListParagraph"/>
        <w:numPr>
          <w:ilvl w:val="0"/>
          <w:numId w:val="49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Consider further modulation enhancements e.g., 16QAM.</w:t>
      </w:r>
    </w:p>
    <w:p w14:paraId="7B451C47" w14:textId="77777777" w:rsidR="003B10DA" w:rsidRPr="002F4998" w:rsidRDefault="003B10DA" w:rsidP="00F41AFE">
      <w:pPr>
        <w:rPr>
          <w:lang w:val="en-GB"/>
        </w:rPr>
      </w:pPr>
      <w:bookmarkStart w:id="9" w:name="_GoBack"/>
      <w:bookmarkEnd w:id="9"/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724F34" w14:textId="0D5C9EEE" w:rsidR="00EE1C09" w:rsidRPr="00EE1C09" w:rsidRDefault="00EE1C09" w:rsidP="00EE1C09">
      <w:r>
        <w:t xml:space="preserve">[1] 3GPP </w:t>
      </w:r>
      <w:proofErr w:type="spellStart"/>
      <w:r w:rsidRPr="00EE1C09">
        <w:t>3GPP</w:t>
      </w:r>
      <w:proofErr w:type="spellEnd"/>
      <w:r w:rsidRPr="00EE1C09">
        <w:t xml:space="preserve"> TS 36.213 V14.1.0 (2016-12)</w:t>
      </w:r>
    </w:p>
    <w:sectPr w:rsidR="00EE1C09" w:rsidRPr="00EE1C09" w:rsidSect="00671B4F">
      <w:headerReference w:type="even" r:id="rId44"/>
      <w:footerReference w:type="even" r:id="rId45"/>
      <w:footerReference w:type="default" r:id="rId4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794BC" w14:textId="77777777" w:rsidR="002A12C3" w:rsidRDefault="002A12C3">
      <w:r>
        <w:separator/>
      </w:r>
    </w:p>
  </w:endnote>
  <w:endnote w:type="continuationSeparator" w:id="0">
    <w:p w14:paraId="4D438B48" w14:textId="77777777" w:rsidR="002A12C3" w:rsidRDefault="002A12C3">
      <w:r>
        <w:continuationSeparator/>
      </w:r>
    </w:p>
  </w:endnote>
  <w:endnote w:type="continuationNotice" w:id="1">
    <w:p w14:paraId="32110D4B" w14:textId="77777777" w:rsidR="002A12C3" w:rsidRDefault="002A1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48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48A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DEE6E" w14:textId="77777777" w:rsidR="002A12C3" w:rsidRDefault="002A12C3">
      <w:r>
        <w:separator/>
      </w:r>
    </w:p>
  </w:footnote>
  <w:footnote w:type="continuationSeparator" w:id="0">
    <w:p w14:paraId="5E602D66" w14:textId="77777777" w:rsidR="002A12C3" w:rsidRDefault="002A12C3">
      <w:r>
        <w:continuationSeparator/>
      </w:r>
    </w:p>
  </w:footnote>
  <w:footnote w:type="continuationNotice" w:id="1">
    <w:p w14:paraId="4E9D3875" w14:textId="77777777" w:rsidR="002A12C3" w:rsidRDefault="002A12C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331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9958E2"/>
    <w:multiLevelType w:val="hybridMultilevel"/>
    <w:tmpl w:val="3610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7633DB"/>
    <w:multiLevelType w:val="hybridMultilevel"/>
    <w:tmpl w:val="153E4138"/>
    <w:lvl w:ilvl="0" w:tplc="591A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C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0B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5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E1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C8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6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F6BE7"/>
    <w:multiLevelType w:val="hybridMultilevel"/>
    <w:tmpl w:val="76B8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9602E"/>
    <w:multiLevelType w:val="hybridMultilevel"/>
    <w:tmpl w:val="101A2E52"/>
    <w:lvl w:ilvl="0" w:tplc="74CC2E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06C93E">
      <w:start w:val="2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4414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24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011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3ECD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880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E13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3ABC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8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E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68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4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A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122ADE"/>
    <w:multiLevelType w:val="hybridMultilevel"/>
    <w:tmpl w:val="6140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C445B"/>
    <w:multiLevelType w:val="hybridMultilevel"/>
    <w:tmpl w:val="3B10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1B6BC5"/>
    <w:multiLevelType w:val="hybridMultilevel"/>
    <w:tmpl w:val="5A5ABA7A"/>
    <w:lvl w:ilvl="0" w:tplc="859C33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2282C8">
      <w:start w:val="2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4006B12">
      <w:start w:val="2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5F85C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88FC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8410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8E14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8247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627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F57DA"/>
    <w:multiLevelType w:val="hybridMultilevel"/>
    <w:tmpl w:val="07AA6600"/>
    <w:lvl w:ilvl="0" w:tplc="6512FD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F02D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7A6DCC">
      <w:start w:val="2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C488776">
      <w:start w:val="28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AF6C1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F8D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2AF2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9C44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924F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64D5E"/>
    <w:multiLevelType w:val="hybridMultilevel"/>
    <w:tmpl w:val="B884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E2772"/>
    <w:multiLevelType w:val="hybridMultilevel"/>
    <w:tmpl w:val="0316A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4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F073CC"/>
    <w:multiLevelType w:val="hybridMultilevel"/>
    <w:tmpl w:val="761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182EC4"/>
    <w:multiLevelType w:val="hybridMultilevel"/>
    <w:tmpl w:val="AE86E160"/>
    <w:lvl w:ilvl="0" w:tplc="9B126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CDE8">
      <w:start w:val="40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D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02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48C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6D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EF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C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8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25"/>
  </w:num>
  <w:num w:numId="5">
    <w:abstractNumId w:val="6"/>
  </w:num>
  <w:num w:numId="6">
    <w:abstractNumId w:val="9"/>
  </w:num>
  <w:num w:numId="7">
    <w:abstractNumId w:val="13"/>
  </w:num>
  <w:num w:numId="8">
    <w:abstractNumId w:val="1"/>
  </w:num>
  <w:num w:numId="9">
    <w:abstractNumId w:val="12"/>
  </w:num>
  <w:num w:numId="10">
    <w:abstractNumId w:val="19"/>
  </w:num>
  <w:num w:numId="11">
    <w:abstractNumId w:val="8"/>
  </w:num>
  <w:num w:numId="12">
    <w:abstractNumId w:val="35"/>
  </w:num>
  <w:num w:numId="13">
    <w:abstractNumId w:val="40"/>
  </w:num>
  <w:num w:numId="14">
    <w:abstractNumId w:val="15"/>
  </w:num>
  <w:num w:numId="15">
    <w:abstractNumId w:val="3"/>
  </w:num>
  <w:num w:numId="16">
    <w:abstractNumId w:val="29"/>
  </w:num>
  <w:num w:numId="17">
    <w:abstractNumId w:val="44"/>
  </w:num>
  <w:num w:numId="18">
    <w:abstractNumId w:val="38"/>
  </w:num>
  <w:num w:numId="19">
    <w:abstractNumId w:val="47"/>
  </w:num>
  <w:num w:numId="20">
    <w:abstractNumId w:val="34"/>
  </w:num>
  <w:num w:numId="21">
    <w:abstractNumId w:val="22"/>
  </w:num>
  <w:num w:numId="22">
    <w:abstractNumId w:val="31"/>
  </w:num>
  <w:num w:numId="23">
    <w:abstractNumId w:val="16"/>
  </w:num>
  <w:num w:numId="24">
    <w:abstractNumId w:val="37"/>
  </w:num>
  <w:num w:numId="25">
    <w:abstractNumId w:val="11"/>
  </w:num>
  <w:num w:numId="26">
    <w:abstractNumId w:val="4"/>
  </w:num>
  <w:num w:numId="27">
    <w:abstractNumId w:val="10"/>
  </w:num>
  <w:num w:numId="28">
    <w:abstractNumId w:val="18"/>
  </w:num>
  <w:num w:numId="29">
    <w:abstractNumId w:val="30"/>
  </w:num>
  <w:num w:numId="30">
    <w:abstractNumId w:val="24"/>
  </w:num>
  <w:num w:numId="31">
    <w:abstractNumId w:val="7"/>
  </w:num>
  <w:num w:numId="32">
    <w:abstractNumId w:val="41"/>
  </w:num>
  <w:num w:numId="33">
    <w:abstractNumId w:val="28"/>
  </w:num>
  <w:num w:numId="34">
    <w:abstractNumId w:val="2"/>
  </w:num>
  <w:num w:numId="35">
    <w:abstractNumId w:val="14"/>
  </w:num>
  <w:num w:numId="36">
    <w:abstractNumId w:val="26"/>
  </w:num>
  <w:num w:numId="37">
    <w:abstractNumId w:val="46"/>
  </w:num>
  <w:num w:numId="38">
    <w:abstractNumId w:val="33"/>
  </w:num>
  <w:num w:numId="39">
    <w:abstractNumId w:val="48"/>
  </w:num>
  <w:num w:numId="40">
    <w:abstractNumId w:val="45"/>
  </w:num>
  <w:num w:numId="41">
    <w:abstractNumId w:val="20"/>
  </w:num>
  <w:num w:numId="42">
    <w:abstractNumId w:val="27"/>
  </w:num>
  <w:num w:numId="43">
    <w:abstractNumId w:val="39"/>
  </w:num>
  <w:num w:numId="44">
    <w:abstractNumId w:val="42"/>
  </w:num>
  <w:num w:numId="45">
    <w:abstractNumId w:val="21"/>
  </w:num>
  <w:num w:numId="46">
    <w:abstractNumId w:val="36"/>
  </w:num>
  <w:num w:numId="47">
    <w:abstractNumId w:val="32"/>
  </w:num>
  <w:num w:numId="48">
    <w:abstractNumId w:val="23"/>
  </w:num>
  <w:num w:numId="49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3D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2.wmf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8B3863-FA21-4364-8E12-611FF2AB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Rico Alvarino, Alberto</cp:lastModifiedBy>
  <cp:revision>26</cp:revision>
  <cp:lastPrinted>2014-11-07T05:38:00Z</cp:lastPrinted>
  <dcterms:created xsi:type="dcterms:W3CDTF">2017-03-23T00:12:00Z</dcterms:created>
  <dcterms:modified xsi:type="dcterms:W3CDTF">2017-03-25T02:37:00Z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1152102216</vt:i4>
  </property>
  <property fmtid="{D5CDD505-2E9C-101B-9397-08002B2CF9AE}" pid="3" name="_NewReviewCycle">
    <vt:lpwstr/>
  </property>
  <property fmtid="{D5CDD505-2E9C-101B-9397-08002B2CF9AE}" pid="4" name="_EmailSubject">
    <vt:lpwstr>NB-IOT contributions update</vt:lpwstr>
  </property>
  <property fmtid="{D5CDD505-2E9C-101B-9397-08002B2CF9AE}" pid="5" name="_AuthorEmail">
    <vt:lpwstr>rwang@qti.qualcomm.com</vt:lpwstr>
  </property>
  <property fmtid="{D5CDD505-2E9C-101B-9397-08002B2CF9AE}" pid="6" name="_AuthorEmailDisplayName">
    <vt:lpwstr>Rachel Wang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